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Red, Yellow, Green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Surface actionable ideas and stakeholder commitments by mapping what’s a clear yes, a hard no, and a creative maybe—inviting fresh thinking and uncovering unexpected opportunities for collaboration.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56.7994545454545" w:lineRule="auto"/>
        <w:jc w:val="both"/>
        <w:rPr>
          <w:rFonts w:ascii="Proxima Nova" w:cs="Proxima Nova" w:eastAsia="Proxima Nova" w:hAnsi="Proxima Nova"/>
          <w:b w:val="1"/>
          <w:color w:val="355f5d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</w:t>
      </w:r>
    </w:p>
    <w:p w:rsidR="00000000" w:rsidDel="00000000" w:rsidP="00000000" w:rsidRDefault="00000000" w:rsidRPr="00000000" w14:paraId="00000004">
      <w:pPr>
        <w:spacing w:after="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during the action planning phase of a convening to surface concrete, stakeholder-specific next steps and to identify areas of agreement, opportunity, and tension.</w:t>
      </w:r>
    </w:p>
    <w:p w:rsidR="00000000" w:rsidDel="00000000" w:rsidP="00000000" w:rsidRDefault="00000000" w:rsidRPr="00000000" w14:paraId="00000005">
      <w:pPr>
        <w:spacing w:after="240" w:before="240" w:line="256.7994545454545" w:lineRule="auto"/>
        <w:jc w:val="both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240" w:line="256.7994545454545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(10 minutes) | Set up the framework</w:t>
      </w:r>
    </w:p>
    <w:p w:rsidR="00000000" w:rsidDel="00000000" w:rsidP="00000000" w:rsidRDefault="00000000" w:rsidRPr="00000000" w14:paraId="00000007">
      <w:pPr>
        <w:spacing w:after="0" w:before="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Prepare a large flipchart, whiteboard, or collaborative spreadsheet with three columns labeled: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🟢 Green – “An easy yes for me”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🟡 Yellow – “An opportunity to get creative”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🔴 Red – “A deal breaker for me”</w:t>
      </w:r>
    </w:p>
    <w:p w:rsidR="00000000" w:rsidDel="00000000" w:rsidP="00000000" w:rsidRDefault="00000000" w:rsidRPr="00000000" w14:paraId="0000000B">
      <w:pPr>
        <w:spacing w:after="0" w:before="240" w:line="256.7994545454545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(10 minutes) | Generate and sort responses</w:t>
      </w:r>
    </w:p>
    <w:p w:rsidR="00000000" w:rsidDel="00000000" w:rsidP="00000000" w:rsidRDefault="00000000" w:rsidRPr="00000000" w14:paraId="0000000C">
      <w:pPr>
        <w:spacing w:after="0" w:before="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Identify 3–5 key work areas or goals that have emerged during the convening. For each, pose the question: </w:t>
      </w:r>
    </w:p>
    <w:p w:rsidR="00000000" w:rsidDel="00000000" w:rsidP="00000000" w:rsidRDefault="00000000" w:rsidRPr="00000000" w14:paraId="0000000D">
      <w:pPr>
        <w:spacing w:after="0" w:before="0" w:line="256.7994545454545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“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What is one action your organization could take to advance this topic?”</w:t>
      </w:r>
    </w:p>
    <w:p w:rsidR="00000000" w:rsidDel="00000000" w:rsidP="00000000" w:rsidRDefault="00000000" w:rsidRPr="00000000" w14:paraId="0000000E">
      <w:pPr>
        <w:spacing w:after="0" w:before="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Ask participants to place their post-its or digital responses in the appropriate column based on their group’s level of commitment or alignment with each proposed action.</w:t>
      </w:r>
    </w:p>
    <w:p w:rsidR="00000000" w:rsidDel="00000000" w:rsidP="00000000" w:rsidRDefault="00000000" w:rsidRPr="00000000" w14:paraId="0000000F">
      <w:pPr>
        <w:spacing w:after="0" w:before="240" w:line="256.7994545454545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(15–20 minutes) | Facilitate discussion, focusing on Yellow items</w:t>
      </w:r>
    </w:p>
    <w:p w:rsidR="00000000" w:rsidDel="00000000" w:rsidP="00000000" w:rsidRDefault="00000000" w:rsidRPr="00000000" w14:paraId="00000010">
      <w:pPr>
        <w:spacing w:after="0" w:before="0" w:line="256.7994545454545" w:lineRule="auto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Guide participants through the “Yellow” responses to explore: What would have to be true to make this a Green? Where is there room for negotiation or trade-offs? Who needs to be involved to move this forward?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after="200" w:before="280" w:line="256.7994545454545" w:lineRule="auto"/>
        <w:ind w:left="0" w:firstLine="0"/>
        <w:rPr/>
      </w:pPr>
      <w:bookmarkStart w:colFirst="0" w:colLast="0" w:name="_heading=h.8tqttaxb7b7h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Emphasize honesty over optimism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. Invite participants to name deal breakers without judgment.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Focus on Yellow ideas.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Pay close attention to what’s in the Yellow column – it’s often where the most creative and strategic collaboration can emerge.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Set boundaries with Red.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the Red column to clarify boundaries and avoid false consensus.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Save Yellow for later.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Document the Yellow responses and follow-up ideas—they often become the basis for pilot projects or joint next steps.</w:t>
      </w:r>
    </w:p>
    <w:p w:rsidR="00000000" w:rsidDel="00000000" w:rsidP="00000000" w:rsidRDefault="00000000" w:rsidRPr="00000000" w14:paraId="00000016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256.7994545454545" w:lineRule="auto"/>
        <w:ind w:left="0" w:firstLine="0"/>
        <w:jc w:val="left"/>
        <w:rPr>
          <w:color w:val="355f5d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256.7994545454545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256.7994545454545" w:lineRule="auto"/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6624638" cy="7394473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18599" l="5138" r="4027" t="3079"/>
                    <a:stretch>
                      <a:fillRect/>
                    </a:stretch>
                  </pic:blipFill>
                  <pic:spPr>
                    <a:xfrm>
                      <a:off x="0" y="0"/>
                      <a:ext cx="6624638" cy="73944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o7/s2i5taeRdQvPyqQRkALp6SQ==">CgMxLjAyDmguOHRxdHRheGI3YjdoOAByITFIdVRodjl1Q0ZfbXFmMVFoTlZGZWFqZDh0WVZyZlJocQ==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